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15"/>
    <w:p>
      <w:pPr>
        <w:pStyle w:val="Heading1"/>
      </w:pPr>
      <w:r>
        <w:t xml:space="preserve">Homiletics Analysis: Romans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15 divides into two broad movements. The first (vv. 1–13) concludes the ethical argument begun in Romans 14, pressing the</w:t>
      </w:r>
      <w:r>
        <w:t xml:space="preserve"> </w:t>
      </w:r>
      <w:r>
        <w:t xml:space="preserve">“strong”</w:t>
      </w:r>
      <w:r>
        <w:t xml:space="preserve"> </w:t>
      </w:r>
      <w:r>
        <w:t xml:space="preserve">to bear the weaknesses of the</w:t>
      </w:r>
      <w:r>
        <w:t xml:space="preserve"> </w:t>
      </w:r>
      <w:r>
        <w:t xml:space="preserve">“weak”</w:t>
      </w:r>
      <w:r>
        <w:t xml:space="preserve"> </w:t>
      </w:r>
      <w:r>
        <w:t xml:space="preserve">rather than please themselves, grounding that imperative in the example of Christ who</w:t>
      </w:r>
      <w:r>
        <w:t xml:space="preserve"> </w:t>
      </w:r>
      <w:r>
        <w:t xml:space="preserve">“did not please himself”</w:t>
      </w:r>
      <w:r>
        <w:t xml:space="preserve"> </w:t>
      </w:r>
      <w:r>
        <w:t xml:space="preserve">(v. 3). Paul cites Psalm 69:9 to anchor Christ’s self-giving in Scripture, then offers a doxological prayer (vv. 5–6) and a double command to receive one another (v. 7), before expanding the horizon to Jew-Gentile unity: Christ became a servant of the circumcised to confirm the promises to the patriarchs</w:t>
      </w:r>
      <w:r>
        <w:t xml:space="preserve"> </w:t>
      </w:r>
      <w:r>
        <w:rPr>
          <w:i/>
          <w:iCs/>
        </w:rPr>
        <w:t xml:space="preserve">and</w:t>
      </w:r>
      <w:r>
        <w:t xml:space="preserve"> </w:t>
      </w:r>
      <w:r>
        <w:t xml:space="preserve">so that the Gentiles might glorify God for his mercy. Four Old Testament citations — from Psalms, Deuteronomy, and Isaiah — cascade to show that Gentile inclusion in Israel’s praise was always God’s design. The movement closes with the</w:t>
      </w:r>
      <w:r>
        <w:t xml:space="preserve"> </w:t>
      </w:r>
      <w:r>
        <w:t xml:space="preserve">“God of hope”</w:t>
      </w:r>
      <w:r>
        <w:t xml:space="preserve"> </w:t>
      </w:r>
      <w:r>
        <w:t xml:space="preserve">benediction (v. 13), one of Paul’s richest compressed doxologies.</w:t>
      </w:r>
    </w:p>
    <w:p>
      <w:pPr>
        <w:pStyle w:val="BodyText"/>
      </w:pPr>
      <w:r>
        <w:t xml:space="preserve">The second movement (vv. 14–33) is epistolary and missionary. Paul defends his boldness in writing to a church he did not plant, grounding his apostolic authority in priestly terms: he is a minister (</w:t>
      </w:r>
      <w:r>
        <w:rPr>
          <w:i/>
          <w:iCs/>
        </w:rPr>
        <w:t xml:space="preserve">leitourgon</w:t>
      </w:r>
      <w:r>
        <w:t xml:space="preserve">) of Christ Jesus to the Gentiles, offering them as a sacrifice acceptable to God (v. 16). He surveys his completed missionary arc from Jerusalem to Illyricum, articulating his pioneer-preaching principle (where Christ has not been named, v. 20), and announces his intended trajectory: Spain, via Rome, after delivering the collection to Jerusalem. The chapter closes with an extended prayer request (vv. 30–33) — the only place in Romans where Paul asks the church to intercede for him — covering his safety in Judea, the reception of the collection, and his hoped-for arrival among them refreshed and refreshing.</w:t>
      </w:r>
    </w:p>
    <w:p>
      <w:pPr>
        <w:pStyle w:val="BodyText"/>
      </w:pPr>
      <w:r>
        <w:rPr>
          <w:b/>
          <w:bCs/>
        </w:rPr>
        <w:t xml:space="preserve">This Text — Intent</w:t>
      </w:r>
    </w:p>
    <w:p>
      <w:pPr>
        <w:pStyle w:val="BodyText"/>
      </w:pPr>
      <w:r>
        <w:t xml:space="preserve">God is using this chapter to do at least three things simultaneously. First, he is closing the loop on the</w:t>
      </w:r>
      <w:r>
        <w:t xml:space="preserve"> </w:t>
      </w:r>
      <w:r>
        <w:t xml:space="preserve">“strong and weak”</w:t>
      </w:r>
      <w:r>
        <w:t xml:space="preserve"> </w:t>
      </w:r>
      <w:r>
        <w:t xml:space="preserve">argument by grounding mutual acceptance not merely in ethical obligation but in the cosmic scope of Christ’s mission — you receive one another</w:t>
      </w:r>
      <w:r>
        <w:t xml:space="preserve"> </w:t>
      </w:r>
      <w:r>
        <w:rPr>
          <w:i/>
          <w:iCs/>
        </w:rPr>
        <w:t xml:space="preserve">because</w:t>
      </w:r>
      <w:r>
        <w:t xml:space="preserve"> </w:t>
      </w:r>
      <w:r>
        <w:t xml:space="preserve">Christ received you, and that receiving was itself the mechanism by which the ancient promise of Jew-Gentile united praise is being fulfilled. Second, he is situating Paul’s apostolic ministry — and the Roman church’s role within it — inside the grand redemptive-historical movement from Jerusalem to the ends of the earth, so that the Roman Christians understand they are not spectators of that mission but participants in it (v. 24, v. 30). Third, and beneath both of these, God is pressing the reader to understand that the unity of the church and the advance of the gospel are not separate concerns — they are one. A divided church in Rome cannot credibly host, fund, or pray for a mission to Spain. The chapter’s intent is to produce a congregation that is simultaneously unified in worship (vv. 5–6), confident in hope (v. 13), and mobilized for mission (vv. 24, 30–33).</w:t>
      </w:r>
    </w:p>
    <w:p>
      <w:r>
        <w:pict>
          <v:rect style="width:0;height:1.5pt" o:hralign="center" o:hrstd="t" o:hr="t"/>
        </w:pict>
      </w:r>
    </w:p>
    <w:p>
      <w:pPr>
        <w:pStyle w:val="FirstParagraph"/>
      </w:pPr>
      <w:r>
        <w:rPr>
          <w:b/>
          <w:bCs/>
        </w:rPr>
        <w:t xml:space="preserve">Subject Sentence:</w:t>
      </w:r>
      <w:r>
        <w:t xml:space="preserve"> </w:t>
      </w:r>
      <w:r>
        <w:t xml:space="preserve">Christ’s example and God’s redemptive purpose together compel unified worship and shared mission among Jew and Gentile.</w:t>
      </w:r>
    </w:p>
    <w:p>
      <w:r>
        <w:pict>
          <v:rect style="width:0;height:1.5pt" o:hralign="center" o:hrstd="t" o:hr="t"/>
        </w:pict>
      </w:r>
    </w:p>
    <w:p>
      <w:pPr>
        <w:pStyle w:val="FirstParagraph"/>
      </w:pPr>
      <w:r>
        <w:rPr>
          <w:b/>
          <w:bCs/>
        </w:rPr>
        <w:t xml:space="preserve">Primary Claim:</w:t>
      </w:r>
      <w:r>
        <w:t xml:space="preserve"> </w:t>
      </w:r>
      <w:r>
        <w:t xml:space="preserve">God is calling the church to recognize that bearing with one another across difference is not a concession to social peace but the necessary shape of a community whose Lord</w:t>
      </w:r>
      <w:r>
        <w:t xml:space="preserve"> </w:t>
      </w:r>
      <w:r>
        <w:t xml:space="preserve">“did not please himself”</w:t>
      </w:r>
      <w:r>
        <w:t xml:space="preserve"> </w:t>
      </w:r>
      <w:r>
        <w:t xml:space="preserve">— a community whose unity exists for the sake of the nations, that all peoples together might glorify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boundaries of the</w:t>
      </w:r>
      <w:r>
        <w:rPr>
          <w:b/>
          <w:bCs/>
        </w:rPr>
        <w:t xml:space="preserve"> </w:t>
      </w:r>
      <w:r>
        <w:rPr>
          <w:b/>
          <w:bCs/>
        </w:rPr>
        <w:t xml:space="preserve">“strong and weak”</w:t>
      </w:r>
      <w:r>
        <w:rPr>
          <w:b/>
          <w:bCs/>
        </w:rPr>
        <w:t xml:space="preserve"> </w:t>
      </w:r>
      <w:r>
        <w:rPr>
          <w:b/>
          <w:bCs/>
        </w:rPr>
        <w:t xml:space="preserve">argument</w:t>
      </w:r>
    </w:p>
    <w:p>
      <w:pPr>
        <w:pStyle w:val="BodyText"/>
      </w:pPr>
      <w:r>
        <w:t xml:space="preserve">There is broad agreement across traditions that Romans 14–15:13 forms a unit, and that the</w:t>
      </w:r>
      <w:r>
        <w:t xml:space="preserve"> </w:t>
      </w:r>
      <w:r>
        <w:t xml:space="preserve">“weak”</w:t>
      </w:r>
      <w:r>
        <w:t xml:space="preserve"> </w:t>
      </w:r>
      <w:r>
        <w:t xml:space="preserve">and</w:t>
      </w:r>
      <w:r>
        <w:t xml:space="preserve"> </w:t>
      </w:r>
      <w:r>
        <w:t xml:space="preserve">“strong”</w:t>
      </w:r>
      <w:r>
        <w:t xml:space="preserve"> </w:t>
      </w:r>
      <w:r>
        <w:t xml:space="preserve">refer to Jewish-background and Gentile-background believers respectively, though some interpreters (notably those in the Dispensational tradition) have read the controversy as a generic matter of Christian conscience with no specific ethnic or redemptive-historical content. The Dispensational flattening misses what Paul’s four Old Testament citations in vv. 9–12 make explicit: the argument is not about abstract tolerance but about the fulfillment of God’s covenant promise to include the Gentiles in Israel’s praise. The ethnic and redemptive-historical freight is load-bearing, not incidental.</w:t>
      </w:r>
    </w:p>
    <w:p>
      <w:pPr>
        <w:pStyle w:val="BodyText"/>
      </w:pPr>
      <w:r>
        <w:t xml:space="preserve">A Lutheran instinct here is to read vv. 1–13 primarily as Law (here is what you must do) resolved into Gospel (Christ did it perfectly). This reading partially holds — Christ’s example is genuinely presented as the ground of the imperative, not merely as its illustration — but the primary movement is not Law/Gospel in the Lutheran sense. The passage moves from</w:t>
      </w:r>
      <w:r>
        <w:t xml:space="preserve"> </w:t>
      </w:r>
      <w:r>
        <w:rPr>
          <w:i/>
          <w:iCs/>
        </w:rPr>
        <w:t xml:space="preserve">Christ’s reception of us</w:t>
      </w:r>
      <w:r>
        <w:t xml:space="preserve"> </w:t>
      </w:r>
      <w:r>
        <w:t xml:space="preserve">(v. 7) outward to</w:t>
      </w:r>
      <w:r>
        <w:t xml:space="preserve"> </w:t>
      </w:r>
      <w:r>
        <w:rPr>
          <w:i/>
          <w:iCs/>
        </w:rPr>
        <w:t xml:space="preserve">the purpose of that reception</w:t>
      </w:r>
      <w:r>
        <w:t xml:space="preserve"> </w:t>
      </w:r>
      <w:r>
        <w:t xml:space="preserve">(Jew-Gentile unity in praise). The imperative is embedded in a doxological and redemptive-historical argument, not a conviction-of-sin-and-relief structure. The Lutheran lens illuminates the Christological ground but can obscure the cosmic horizon.</w:t>
      </w:r>
    </w:p>
    <w:p>
      <w:pPr>
        <w:pStyle w:val="BodyText"/>
      </w:pPr>
      <w:r>
        <w:rPr>
          <w:b/>
          <w:bCs/>
        </w:rPr>
        <w:t xml:space="preserve">The</w:t>
      </w:r>
      <w:r>
        <w:rPr>
          <w:b/>
          <w:bCs/>
        </w:rPr>
        <w:t xml:space="preserve"> </w:t>
      </w:r>
      <w:r>
        <w:rPr>
          <w:b/>
          <w:bCs/>
        </w:rPr>
        <w:t xml:space="preserve">“priestly offering”</w:t>
      </w:r>
      <w:r>
        <w:rPr>
          <w:b/>
          <w:bCs/>
        </w:rPr>
        <w:t xml:space="preserve"> </w:t>
      </w:r>
      <w:r>
        <w:rPr>
          <w:b/>
          <w:bCs/>
        </w:rPr>
        <w:t xml:space="preserve">language of vv. 15–16</w:t>
      </w:r>
    </w:p>
    <w:p>
      <w:pPr>
        <w:pStyle w:val="BodyText"/>
      </w:pPr>
      <w:r>
        <w:t xml:space="preserve">Roman Catholic interpreters have occasionally read Paul’s leitourgon/hierourgountas language in vv. 15–16 as supporting a sacerdotal or mediatorial priesthood for the Christian minister. This reading should be refuted. Paul is using cultic language metaphorically and with deliberate irony: the</w:t>
      </w:r>
      <w:r>
        <w:t xml:space="preserve"> </w:t>
      </w:r>
      <w:r>
        <w:t xml:space="preserve">“priestly service”</w:t>
      </w:r>
      <w:r>
        <w:t xml:space="preserve"> </w:t>
      </w:r>
      <w:r>
        <w:t xml:space="preserve">he renders is not offering bread and wine or performing ritual sacrifice, but</w:t>
      </w:r>
      <w:r>
        <w:t xml:space="preserve"> </w:t>
      </w:r>
      <w:r>
        <w:rPr>
          <w:i/>
          <w:iCs/>
        </w:rPr>
        <w:t xml:space="preserve">preaching the gospel</w:t>
      </w:r>
      <w:r>
        <w:t xml:space="preserve"> </w:t>
      </w:r>
      <w:r>
        <w:t xml:space="preserve">so that Gentiles themselves become the offering. The sacrifice is the converted Gentiles; the altar is the advance of the gospel from Jerusalem to Illyricum to Spain. Far from grounding sacerdotalism, this passage actually subverts it by relocating all priestly categories in missional proclamation and its fruit.</w:t>
      </w:r>
    </w:p>
    <w:p>
      <w:pPr>
        <w:pStyle w:val="BodyText"/>
      </w:pPr>
      <w:r>
        <w:rPr>
          <w:b/>
          <w:bCs/>
        </w:rPr>
        <w:t xml:space="preserve">Verses 8–12 and the Gentile mission</w:t>
      </w:r>
    </w:p>
    <w:p>
      <w:pPr>
        <w:pStyle w:val="BodyText"/>
      </w:pPr>
      <w:r>
        <w:t xml:space="preserve">Dispensational readings that maintain a strict Israel/Church distinction sometimes struggle with vv. 8–12. If Christ became</w:t>
      </w:r>
      <w:r>
        <w:t xml:space="preserve"> </w:t>
      </w:r>
      <w:r>
        <w:t xml:space="preserve">“a servant of the circumcised”</w:t>
      </w:r>
      <w:r>
        <w:t xml:space="preserve"> </w:t>
      </w:r>
      <w:r>
        <w:t xml:space="preserve">to</w:t>
      </w:r>
      <w:r>
        <w:t xml:space="preserve"> </w:t>
      </w:r>
      <w:r>
        <w:t xml:space="preserve">“confirm the promises to the patriarchs,”</w:t>
      </w:r>
      <w:r>
        <w:t xml:space="preserve"> </w:t>
      </w:r>
      <w:r>
        <w:t xml:space="preserve">and if those promises are understood as yet-to-be-fulfilled national promises to ethnic Israel, then Paul’s use of Psalm 18, Deuteronomy 32, Psalm 117, and Isaiah 11 to describe</w:t>
      </w:r>
      <w:r>
        <w:t xml:space="preserve"> </w:t>
      </w:r>
      <w:r>
        <w:rPr>
          <w:i/>
          <w:iCs/>
        </w:rPr>
        <w:t xml:space="preserve">present Gentile inclusion in praise</w:t>
      </w:r>
      <w:r>
        <w:t xml:space="preserve"> </w:t>
      </w:r>
      <w:r>
        <w:t xml:space="preserve">becomes awkward — it would appear to shortchange the Gentile fulfillment by making it preliminary to a future fuller fulfillment. The Reformed reading is to be preferred: the four citations together demonstrate that Gentile inclusion in Israel’s praise was always the intended telos of God’s covenant dealings with Israel. The promise to the patriarchs was never narrowly ethnic — it always had the nations in view (cf. Genesis 12:3). Christ’s servant ministry to Israel is the mechanism by which the larger promise reaches the Gentiles. There is no remainder requiring a separate future fulfillment track.</w:t>
      </w:r>
    </w:p>
    <w:p>
      <w:pPr>
        <w:pStyle w:val="BodyText"/>
      </w:pPr>
      <w:r>
        <w:rPr>
          <w:b/>
          <w:bCs/>
        </w:rPr>
        <w:t xml:space="preserve">Verse 20 and pioneer church planting</w:t>
      </w:r>
    </w:p>
    <w:p>
      <w:pPr>
        <w:pStyle w:val="BodyText"/>
      </w:pPr>
      <w:r>
        <w:t xml:space="preserve">Evangelical and Reformed interpreters alike generally read v. 20 as expressing a legitimate and important missional principle — preaching where Christ has not been named. Some have pressed this into a normative prescription for all cross-cultural mission, while others (particularly those with strong local church ecclesiologies) have read it as describing Paul’s unique apostolic calling rather than a transferable model. The middle position is correct: while Paul’s apostolic calling is unique, the</w:t>
      </w:r>
      <w:r>
        <w:t xml:space="preserve"> </w:t>
      </w:r>
      <w:r>
        <w:rPr>
          <w:i/>
          <w:iCs/>
        </w:rPr>
        <w:t xml:space="preserve">instinct</w:t>
      </w:r>
      <w:r>
        <w:t xml:space="preserve"> </w:t>
      </w:r>
      <w:r>
        <w:t xml:space="preserve">he expresses — to reach those who have never heard — reflects the logic of the Great Commission itself and is properly generalized as a missionary priority, without being absolutized as the only valid form of gospel ministry.</w:t>
      </w:r>
    </w:p>
    <w:p>
      <w:pPr>
        <w:pStyle w:val="BodyText"/>
      </w:pPr>
      <w:r>
        <w:rPr>
          <w:b/>
          <w:bCs/>
        </w:rPr>
        <w:t xml:space="preserve">Conclusion — Reformed reading</w:t>
      </w:r>
    </w:p>
    <w:p>
      <w:pPr>
        <w:pStyle w:val="BodyText"/>
      </w:pPr>
      <w:r>
        <w:t xml:space="preserve">The Reformed reading that best accounts for the whole passage holds: (1) the</w:t>
      </w:r>
      <w:r>
        <w:t xml:space="preserve"> </w:t>
      </w:r>
      <w:r>
        <w:t xml:space="preserve">“strong/weak”</w:t>
      </w:r>
      <w:r>
        <w:t xml:space="preserve"> </w:t>
      </w:r>
      <w:r>
        <w:t xml:space="preserve">argument is irreducibly ethnic and redemptive-historical, not merely ethical; (2) Christ’s example grounds the imperative covenantally, not just morally; (3) the priestly language is missiological, not sacerdotal; (4) Gentile inclusion in praise is the telos of the Abrahamic covenant, now being realized; and (5) Paul’s missionary account is simultaneously an apostolic defense and a call to partnership in a mission the Roman church is being invited to join.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w:t>
      </w:r>
      <w:r>
        <w:t xml:space="preserve"> </w:t>
      </w:r>
      <w:r>
        <w:t xml:space="preserve">— The Abrahamic covenant always had the nations (</w:t>
      </w:r>
      <w:r>
        <w:rPr>
          <w:i/>
          <w:iCs/>
        </w:rPr>
        <w:t xml:space="preserve">goyim</w:t>
      </w:r>
      <w:r>
        <w:t xml:space="preserve">) in view; Romans 15:8–12 shows that promise reaching its fulfillment through Christ’s servant ministry to Israel and consequent Gentile inclusion.</w:t>
      </w:r>
    </w:p>
    <w:p>
      <w:pPr>
        <w:numPr>
          <w:ilvl w:val="0"/>
          <w:numId w:val="1001"/>
        </w:numPr>
      </w:pPr>
      <w:r>
        <w:rPr>
          <w:b/>
          <w:bCs/>
        </w:rPr>
        <w:t xml:space="preserve">Isaiah 11:10</w:t>
      </w:r>
      <w:r>
        <w:t xml:space="preserve"> </w:t>
      </w:r>
      <w:r>
        <w:t xml:space="preserve">(cited in Romans 15:12) — The</w:t>
      </w:r>
      <w:r>
        <w:t xml:space="preserve"> </w:t>
      </w:r>
      <w:r>
        <w:t xml:space="preserve">“root of Jesse”</w:t>
      </w:r>
      <w:r>
        <w:t xml:space="preserve"> </w:t>
      </w:r>
      <w:r>
        <w:t xml:space="preserve">who arises to rule the Gentiles and in whom the nations hope; Paul reads this as the direct Old Testament warrant for the present Gentile mission, grounding it in prophetic expectation rather than novelty.</w:t>
      </w:r>
    </w:p>
    <w:p>
      <w:pPr>
        <w:numPr>
          <w:ilvl w:val="0"/>
          <w:numId w:val="1001"/>
        </w:numPr>
      </w:pPr>
      <w:r>
        <w:rPr>
          <w:b/>
          <w:bCs/>
        </w:rPr>
        <w:t xml:space="preserve">Psalm 22:22 / Hebrews 2:11–12</w:t>
      </w:r>
      <w:r>
        <w:t xml:space="preserve"> </w:t>
      </w:r>
      <w:r>
        <w:t xml:space="preserve">— The risen Christ leading the assembly in praise among his brothers; canonical resonance with Romans 15:9’s</w:t>
      </w:r>
      <w:r>
        <w:t xml:space="preserve"> </w:t>
      </w:r>
      <w:r>
        <w:t xml:space="preserve">“I will praise you among the Gentiles,”</w:t>
      </w:r>
      <w:r>
        <w:t xml:space="preserve"> </w:t>
      </w:r>
      <w:r>
        <w:t xml:space="preserve">establishing that Christ himself is the singer of the Gentile praise.</w:t>
      </w:r>
    </w:p>
    <w:p>
      <w:pPr>
        <w:numPr>
          <w:ilvl w:val="0"/>
          <w:numId w:val="1001"/>
        </w:numPr>
      </w:pPr>
      <w:r>
        <w:rPr>
          <w:b/>
          <w:bCs/>
        </w:rPr>
        <w:t xml:space="preserve">Acts 13:46–48</w:t>
      </w:r>
      <w:r>
        <w:t xml:space="preserve"> </w:t>
      </w:r>
      <w:r>
        <w:t xml:space="preserve">— Paul and Barnabas turning to the Gentiles at Pisidian Antioch, citing Isaiah 49:6; the missionary logic of Romans 15:14–21 is enacted in Acts, grounding Paul’s apostolic account in lived redemptive-historical pattern.</w:t>
      </w:r>
    </w:p>
    <w:p>
      <w:pPr>
        <w:numPr>
          <w:ilvl w:val="0"/>
          <w:numId w:val="1001"/>
        </w:numPr>
      </w:pPr>
      <w:r>
        <w:rPr>
          <w:b/>
          <w:bCs/>
        </w:rPr>
        <w:t xml:space="preserve">Ephesians 2:11–22</w:t>
      </w:r>
      <w:r>
        <w:t xml:space="preserve"> </w:t>
      </w:r>
      <w:r>
        <w:t xml:space="preserve">— The dividing wall broken down; Jew and Gentile made one new man in Christ; the theological scaffolding beneath Romans 15:7–12, showing that the unity Paul demands is not pragmatic but ontological — it has been accomplished in Christ and must now be expressed in the church’s common life.</w:t>
      </w:r>
    </w:p>
    <w:p>
      <w:r>
        <w:pict>
          <v:rect style="width:0;height:1.5pt" o:hralign="center" o:hrstd="t" o:hr="t"/>
        </w:pict>
      </w:r>
    </w:p>
    <w:p>
      <w:pPr>
        <w:pStyle w:val="FirstParagraph"/>
      </w:pPr>
      <w:r>
        <w:rPr>
          <w:b/>
          <w:bCs/>
        </w:rPr>
        <w:t xml:space="preserve">Aim:</w:t>
      </w:r>
      <w:r>
        <w:t xml:space="preserve"> </w:t>
      </w:r>
      <w:r>
        <w:t xml:space="preserve">To show that the church’s unity across difference and its participation in global mission are not two separate callings but one integrated vocation, grounded in Christ’s self-giving and aimed at the praise of God among all nations.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15:1</w:t>
            </w:r>
          </w:p>
        </w:tc>
        <w:tc>
          <w:tcPr/>
          <w:p>
            <w:pPr>
              <w:pStyle w:val="Compact"/>
            </w:pPr>
            <w:r>
              <w:t xml:space="preserve">The strong ought to bear the weaknesses of the weak, not please themselves</w:t>
            </w:r>
          </w:p>
        </w:tc>
        <w:tc>
          <w:tcPr/>
          <w:p>
            <w:pPr>
              <w:pStyle w:val="Compact"/>
            </w:pPr>
            <w:r>
              <w:t xml:space="preserve">Shifts from</w:t>
            </w:r>
            <w:r>
              <w:t xml:space="preserve"> </w:t>
            </w:r>
            <w:r>
              <w:t xml:space="preserve">“welcome”</w:t>
            </w:r>
            <w:r>
              <w:t xml:space="preserve"> </w:t>
            </w:r>
            <w:r>
              <w:t xml:space="preserve">(14:1) to</w:t>
            </w:r>
            <w:r>
              <w:t xml:space="preserve"> </w:t>
            </w:r>
            <w:r>
              <w:t xml:space="preserve">“bear”</w:t>
            </w:r>
            <w:r>
              <w:t xml:space="preserve"> </w:t>
            </w:r>
            <w:r>
              <w:t xml:space="preserve">— stronger, more costly term</w:t>
            </w:r>
          </w:p>
        </w:tc>
      </w:tr>
      <w:tr>
        <w:tc>
          <w:tcPr/>
          <w:p>
            <w:pPr>
              <w:pStyle w:val="Compact"/>
            </w:pPr>
            <w:r>
              <w:t xml:space="preserve">15:2</w:t>
            </w:r>
          </w:p>
        </w:tc>
        <w:tc>
          <w:tcPr/>
          <w:p>
            <w:pPr>
              <w:pStyle w:val="Compact"/>
            </w:pPr>
            <w:r>
              <w:t xml:space="preserve">Each of us should please his neighbor for his good, to build him up</w:t>
            </w:r>
          </w:p>
        </w:tc>
        <w:tc>
          <w:tcPr/>
          <w:p>
            <w:pPr>
              <w:pStyle w:val="Compact"/>
            </w:pPr>
            <w:r>
              <w:t xml:space="preserve">Neighbor-orientation as the shape of Christian freedom</w:t>
            </w:r>
          </w:p>
        </w:tc>
      </w:tr>
      <w:tr>
        <w:tc>
          <w:tcPr/>
          <w:p>
            <w:pPr>
              <w:pStyle w:val="Compact"/>
            </w:pPr>
            <w:r>
              <w:t xml:space="preserve">15:3</w:t>
            </w:r>
          </w:p>
        </w:tc>
        <w:tc>
          <w:tcPr/>
          <w:p>
            <w:pPr>
              <w:pStyle w:val="Compact"/>
            </w:pPr>
            <w:r>
              <w:t xml:space="preserve">Christ did not please himself; Psalm 69:9 cited —</w:t>
            </w:r>
            <w:r>
              <w:t xml:space="preserve"> </w:t>
            </w:r>
            <w:r>
              <w:t xml:space="preserve">“the reproaches of those who reproached you fell on me”</w:t>
            </w:r>
          </w:p>
        </w:tc>
        <w:tc>
          <w:tcPr/>
          <w:p>
            <w:pPr>
              <w:pStyle w:val="Compact"/>
            </w:pPr>
            <w:r>
              <w:t xml:space="preserve">Christ’s self-giving established by Scripture, not merely by example</w:t>
            </w:r>
          </w:p>
        </w:tc>
      </w:tr>
      <w:tr>
        <w:tc>
          <w:tcPr/>
          <w:p>
            <w:pPr>
              <w:pStyle w:val="Compact"/>
            </w:pPr>
            <w:r>
              <w:t xml:space="preserve">15:4</w:t>
            </w:r>
          </w:p>
        </w:tc>
        <w:tc>
          <w:tcPr/>
          <w:p>
            <w:pPr>
              <w:pStyle w:val="Compact"/>
            </w:pPr>
            <w:r>
              <w:t xml:space="preserve">Whatever was written in former days was written for our instruction, that through endurance and encouragement of the Scriptures we might have hope</w:t>
            </w:r>
          </w:p>
        </w:tc>
        <w:tc>
          <w:tcPr/>
          <w:p>
            <w:pPr>
              <w:pStyle w:val="Compact"/>
            </w:pPr>
            <w:r>
              <w:t xml:space="preserve">Theological aside: the OT’s ongoing function for the church</w:t>
            </w:r>
          </w:p>
        </w:tc>
      </w:tr>
      <w:tr>
        <w:tc>
          <w:tcPr/>
          <w:p>
            <w:pPr>
              <w:pStyle w:val="Compact"/>
            </w:pPr>
            <w:r>
              <w:t xml:space="preserve">15:5–6</w:t>
            </w:r>
          </w:p>
        </w:tc>
        <w:tc>
          <w:tcPr/>
          <w:p>
            <w:pPr>
              <w:pStyle w:val="Compact"/>
            </w:pPr>
            <w:r>
              <w:t xml:space="preserve">Prayer that God grant harmony</w:t>
            </w:r>
            <w:r>
              <w:t xml:space="preserve"> </w:t>
            </w:r>
            <w:r>
              <w:t xml:space="preserve">“in accordance with Christ Jesus,”</w:t>
            </w:r>
            <w:r>
              <w:t xml:space="preserve"> </w:t>
            </w:r>
            <w:r>
              <w:t xml:space="preserve">so that together they may glorify God with one voice</w:t>
            </w:r>
          </w:p>
        </w:tc>
        <w:tc>
          <w:tcPr/>
          <w:p>
            <w:pPr>
              <w:pStyle w:val="Compact"/>
            </w:pPr>
            <w:r>
              <w:t xml:space="preserve">Doxological aim of unity revealed:</w:t>
            </w:r>
            <w:r>
              <w:t xml:space="preserve"> </w:t>
            </w:r>
            <w:r>
              <w:rPr>
                <w:i/>
                <w:iCs/>
              </w:rPr>
              <w:t xml:space="preserve">one voice</w:t>
            </w:r>
            <w:r>
              <w:t xml:space="preserve"> </w:t>
            </w:r>
            <w:r>
              <w:t xml:space="preserve">of praise</w:t>
            </w:r>
          </w:p>
        </w:tc>
      </w:tr>
      <w:tr>
        <w:tc>
          <w:tcPr/>
          <w:p>
            <w:pPr>
              <w:pStyle w:val="Compact"/>
            </w:pPr>
            <w:r>
              <w:t xml:space="preserve">15:7</w:t>
            </w:r>
          </w:p>
        </w:tc>
        <w:tc>
          <w:tcPr/>
          <w:p>
            <w:pPr>
              <w:pStyle w:val="Compact"/>
            </w:pPr>
            <w:r>
              <w:t xml:space="preserve">“Welcome one another as Christ has welcomed you, for the glory of God”</w:t>
            </w:r>
          </w:p>
        </w:tc>
        <w:tc>
          <w:tcPr/>
          <w:p>
            <w:pPr>
              <w:pStyle w:val="Compact"/>
            </w:pPr>
            <w:r>
              <w:t xml:space="preserve">The hinge verse — imperative grounded in indicative, aimed at doxology</w:t>
            </w:r>
          </w:p>
        </w:tc>
      </w:tr>
      <w:tr>
        <w:tc>
          <w:tcPr/>
          <w:p>
            <w:pPr>
              <w:pStyle w:val="Compact"/>
            </w:pPr>
            <w:r>
              <w:t xml:space="preserve">15:8–9a</w:t>
            </w:r>
          </w:p>
        </w:tc>
        <w:tc>
          <w:tcPr/>
          <w:p>
            <w:pPr>
              <w:pStyle w:val="Compact"/>
            </w:pPr>
            <w:r>
              <w:t xml:space="preserve">Christ became a servant of the circumcised to confirm the patriarchal promises and that the Gentiles might glorify God for his mercy</w:t>
            </w:r>
          </w:p>
        </w:tc>
        <w:tc>
          <w:tcPr/>
          <w:p>
            <w:pPr>
              <w:pStyle w:val="Compact"/>
            </w:pPr>
            <w:r>
              <w:t xml:space="preserve">Two purposes of Christ’s ministry stated: promise-confirmation and Gentile inclusion</w:t>
            </w:r>
          </w:p>
        </w:tc>
      </w:tr>
      <w:tr>
        <w:tc>
          <w:tcPr/>
          <w:p>
            <w:pPr>
              <w:pStyle w:val="Compact"/>
            </w:pPr>
            <w:r>
              <w:t xml:space="preserve">15:9b–12</w:t>
            </w:r>
          </w:p>
        </w:tc>
        <w:tc>
          <w:tcPr/>
          <w:p>
            <w:pPr>
              <w:pStyle w:val="Compact"/>
            </w:pPr>
            <w:r>
              <w:t xml:space="preserve">Four OT citations: Ps. 18:49; Deut. 32:43; Ps. 117:1; Isa. 11:10</w:t>
            </w:r>
          </w:p>
        </w:tc>
        <w:tc>
          <w:tcPr/>
          <w:p>
            <w:pPr>
              <w:pStyle w:val="Compact"/>
            </w:pPr>
            <w:r>
              <w:t xml:space="preserve">Cascade of canonical witnesses to Gentile praise as God’s always-intended design</w:t>
            </w:r>
          </w:p>
        </w:tc>
      </w:tr>
      <w:tr>
        <w:tc>
          <w:tcPr/>
          <w:p>
            <w:pPr>
              <w:pStyle w:val="Compact"/>
            </w:pPr>
            <w:r>
              <w:t xml:space="preserve">15:13</w:t>
            </w:r>
          </w:p>
        </w:tc>
        <w:tc>
          <w:tcPr/>
          <w:p>
            <w:pPr>
              <w:pStyle w:val="Compact"/>
            </w:pPr>
            <w:r>
              <w:t xml:space="preserve">Benediction:</w:t>
            </w:r>
            <w:r>
              <w:t xml:space="preserve"> </w:t>
            </w:r>
            <w:r>
              <w:t xml:space="preserve">“May the God of hope fill you with all joy and peace in believing, so that by the power of the Holy Spirit you may abound in hope”</w:t>
            </w:r>
          </w:p>
        </w:tc>
        <w:tc>
          <w:tcPr/>
          <w:p>
            <w:pPr>
              <w:pStyle w:val="Compact"/>
            </w:pPr>
            <w:r>
              <w:t xml:space="preserve">Trinitarian doxology; hope as the fruit of faith and the Spirit’s work</w:t>
            </w:r>
          </w:p>
        </w:tc>
      </w:tr>
      <w:tr>
        <w:tc>
          <w:tcPr/>
          <w:p>
            <w:pPr>
              <w:pStyle w:val="Compact"/>
            </w:pPr>
            <w:r>
              <w:t xml:space="preserve">15:14–15</w:t>
            </w:r>
          </w:p>
        </w:tc>
        <w:tc>
          <w:tcPr/>
          <w:p>
            <w:pPr>
              <w:pStyle w:val="Compact"/>
            </w:pPr>
            <w:r>
              <w:t xml:space="preserve">Paul acknowledges the Romans’ goodness and knowledge; explains his boldness as grace-given — a reminder, not instruction</w:t>
            </w:r>
          </w:p>
        </w:tc>
        <w:tc>
          <w:tcPr/>
          <w:p>
            <w:pPr>
              <w:pStyle w:val="Compact"/>
            </w:pPr>
            <w:r>
              <w:t xml:space="preserve">Epistolary apologia; careful about not overstepping</w:t>
            </w:r>
          </w:p>
        </w:tc>
      </w:tr>
      <w:tr>
        <w:tc>
          <w:tcPr/>
          <w:p>
            <w:pPr>
              <w:pStyle w:val="Compact"/>
            </w:pPr>
            <w:r>
              <w:t xml:space="preserve">15:16</w:t>
            </w:r>
          </w:p>
        </w:tc>
        <w:tc>
          <w:tcPr/>
          <w:p>
            <w:pPr>
              <w:pStyle w:val="Compact"/>
            </w:pPr>
            <w:r>
              <w:t xml:space="preserve">Paul as</w:t>
            </w:r>
            <w:r>
              <w:t xml:space="preserve"> </w:t>
            </w:r>
            <w:r>
              <w:rPr>
                <w:i/>
                <w:iCs/>
              </w:rPr>
              <w:t xml:space="preserve">leitourgon</w:t>
            </w:r>
            <w:r>
              <w:t xml:space="preserve"> </w:t>
            </w:r>
            <w:r>
              <w:t xml:space="preserve">of Christ Jesus to the Gentiles, offering them as an acceptable sacrifice</w:t>
            </w:r>
          </w:p>
        </w:tc>
        <w:tc>
          <w:tcPr/>
          <w:p>
            <w:pPr>
              <w:pStyle w:val="Compact"/>
            </w:pPr>
            <w:r>
              <w:t xml:space="preserve">Cultic metaphor for apostolic mission; the Gentiles themselves are the offering</w:t>
            </w:r>
          </w:p>
        </w:tc>
      </w:tr>
      <w:tr>
        <w:tc>
          <w:tcPr/>
          <w:p>
            <w:pPr>
              <w:pStyle w:val="Compact"/>
            </w:pPr>
            <w:r>
              <w:t xml:space="preserve">15:17–19</w:t>
            </w:r>
          </w:p>
        </w:tc>
        <w:tc>
          <w:tcPr/>
          <w:p>
            <w:pPr>
              <w:pStyle w:val="Compact"/>
            </w:pPr>
            <w:r>
              <w:t xml:space="preserve">Paul boasts only in what Christ has accomplished through him — signs, wonders, power of the Spirit — from Jerusalem to Illyricum</w:t>
            </w:r>
          </w:p>
        </w:tc>
        <w:tc>
          <w:tcPr/>
          <w:p>
            <w:pPr>
              <w:pStyle w:val="Compact"/>
            </w:pPr>
            <w:r>
              <w:t xml:space="preserve">The gospel has been</w:t>
            </w:r>
            <w:r>
              <w:t xml:space="preserve"> </w:t>
            </w:r>
            <w:r>
              <w:t xml:space="preserve">“fulfilled”</w:t>
            </w:r>
            <w:r>
              <w:t xml:space="preserve"> </w:t>
            </w:r>
            <w:r>
              <w:t xml:space="preserve">(</w:t>
            </w:r>
            <w:r>
              <w:rPr>
                <w:i/>
                <w:iCs/>
              </w:rPr>
              <w:t xml:space="preserve">peplēromai</w:t>
            </w:r>
            <w:r>
              <w:t xml:space="preserve">) in an arc; Spirit-empowered mission</w:t>
            </w:r>
          </w:p>
        </w:tc>
      </w:tr>
      <w:tr>
        <w:tc>
          <w:tcPr/>
          <w:p>
            <w:pPr>
              <w:pStyle w:val="Compact"/>
            </w:pPr>
            <w:r>
              <w:t xml:space="preserve">15:20–21</w:t>
            </w:r>
          </w:p>
        </w:tc>
        <w:tc>
          <w:tcPr/>
          <w:p>
            <w:pPr>
              <w:pStyle w:val="Compact"/>
            </w:pPr>
            <w:r>
              <w:t xml:space="preserve">Pioneer principle: where Christ has not been named; Isaiah 52:15 cited</w:t>
            </w:r>
          </w:p>
        </w:tc>
        <w:tc>
          <w:tcPr/>
          <w:p>
            <w:pPr>
              <w:pStyle w:val="Compact"/>
            </w:pPr>
            <w:r>
              <w:t xml:space="preserve">Not building on another’s foundation; missional instinct rooted in prophetic calling</w:t>
            </w:r>
          </w:p>
        </w:tc>
      </w:tr>
      <w:tr>
        <w:tc>
          <w:tcPr/>
          <w:p>
            <w:pPr>
              <w:pStyle w:val="Compact"/>
            </w:pPr>
            <w:r>
              <w:t xml:space="preserve">15:22–24</w:t>
            </w:r>
          </w:p>
        </w:tc>
        <w:tc>
          <w:tcPr/>
          <w:p>
            <w:pPr>
              <w:pStyle w:val="Compact"/>
            </w:pPr>
            <w:r>
              <w:t xml:space="preserve">Explains why he has not yet come to Rome; plans to visit en route to Spain; hopes to be</w:t>
            </w:r>
            <w:r>
              <w:t xml:space="preserve"> </w:t>
            </w:r>
            <w:r>
              <w:t xml:space="preserve">“helped on his way”</w:t>
            </w:r>
            <w:r>
              <w:t xml:space="preserve"> </w:t>
            </w:r>
            <w:r>
              <w:t xml:space="preserve">by them</w:t>
            </w:r>
          </w:p>
        </w:tc>
        <w:tc>
          <w:tcPr/>
          <w:p>
            <w:pPr>
              <w:pStyle w:val="Compact"/>
            </w:pPr>
            <w:r>
              <w:t xml:space="preserve">Spain as the next frontier; Rome as mission base, not mission destination</w:t>
            </w:r>
          </w:p>
        </w:tc>
      </w:tr>
      <w:tr>
        <w:tc>
          <w:tcPr/>
          <w:p>
            <w:pPr>
              <w:pStyle w:val="Compact"/>
            </w:pPr>
            <w:r>
              <w:t xml:space="preserve">15:25–27</w:t>
            </w:r>
          </w:p>
        </w:tc>
        <w:tc>
          <w:tcPr/>
          <w:p>
            <w:pPr>
              <w:pStyle w:val="Compact"/>
            </w:pPr>
            <w:r>
              <w:t xml:space="preserve">Must first go to Jerusalem with the collection; the Gentiles’ material sharing as debt for spiritual blessings received from Israel</w:t>
            </w:r>
          </w:p>
        </w:tc>
        <w:tc>
          <w:tcPr/>
          <w:p>
            <w:pPr>
              <w:pStyle w:val="Compact"/>
            </w:pPr>
            <w:r>
              <w:t xml:space="preserve">Collection as enacted theology — Gentile solidarity with Jewish believers</w:t>
            </w:r>
          </w:p>
        </w:tc>
      </w:tr>
      <w:tr>
        <w:tc>
          <w:tcPr/>
          <w:p>
            <w:pPr>
              <w:pStyle w:val="Compact"/>
            </w:pPr>
            <w:r>
              <w:t xml:space="preserve">15:28–29</w:t>
            </w:r>
          </w:p>
        </w:tc>
        <w:tc>
          <w:tcPr/>
          <w:p>
            <w:pPr>
              <w:pStyle w:val="Compact"/>
            </w:pPr>
            <w:r>
              <w:t xml:space="preserve">Will come to Rome after delivering the</w:t>
            </w:r>
            <w:r>
              <w:t xml:space="preserve"> </w:t>
            </w:r>
            <w:r>
              <w:t xml:space="preserve">“fruit”</w:t>
            </w:r>
            <w:r>
              <w:t xml:space="preserve"> </w:t>
            </w:r>
            <w:r>
              <w:t xml:space="preserve">to Jerusalem; will come in the fullness of Christ’s blessing</w:t>
            </w:r>
          </w:p>
        </w:tc>
        <w:tc>
          <w:tcPr/>
          <w:p>
            <w:pPr>
              <w:pStyle w:val="Compact"/>
            </w:pPr>
            <w:r>
              <w:t xml:space="preserve">Travel itinerary; confidence in arrival, though providentially qualified</w:t>
            </w:r>
          </w:p>
        </w:tc>
      </w:tr>
      <w:tr>
        <w:tc>
          <w:tcPr/>
          <w:p>
            <w:pPr>
              <w:pStyle w:val="Compact"/>
            </w:pPr>
            <w:r>
              <w:t xml:space="preserve">15:30–32</w:t>
            </w:r>
          </w:p>
        </w:tc>
        <w:tc>
          <w:tcPr/>
          <w:p>
            <w:pPr>
              <w:pStyle w:val="Compact"/>
            </w:pPr>
            <w:r>
              <w:t xml:space="preserve">Urgent prayer request: (1) deliverance from unbelievers in Judea, (2) Jerusalem’s acceptance of the collection, (3) joyful arrival in Rome</w:t>
            </w:r>
          </w:p>
        </w:tc>
        <w:tc>
          <w:tcPr/>
          <w:p>
            <w:pPr>
              <w:pStyle w:val="Compact"/>
            </w:pPr>
            <w:r>
              <w:t xml:space="preserve">Paul’s vulnerability exposed; only Romans prayer request in the letter</w:t>
            </w:r>
          </w:p>
        </w:tc>
      </w:tr>
      <w:tr>
        <w:tc>
          <w:tcPr/>
          <w:p>
            <w:pPr>
              <w:pStyle w:val="Compact"/>
            </w:pPr>
            <w:r>
              <w:t xml:space="preserve">15:33</w:t>
            </w:r>
          </w:p>
        </w:tc>
        <w:tc>
          <w:tcPr/>
          <w:p>
            <w:pPr>
              <w:pStyle w:val="Compact"/>
            </w:pPr>
            <w:r>
              <w:t xml:space="preserve">“May the God of peace be with you all. Amen.”</w:t>
            </w:r>
          </w:p>
        </w:tc>
        <w:tc>
          <w:tcPr/>
          <w:p>
            <w:pPr>
              <w:pStyle w:val="Compact"/>
            </w:pPr>
            <w:r>
              <w:t xml:space="preserve">Benediction;</w:t>
            </w:r>
            <w:r>
              <w:t xml:space="preserve"> </w:t>
            </w:r>
            <w:r>
              <w:t xml:space="preserve">“God of peace”</w:t>
            </w:r>
            <w:r>
              <w:t xml:space="preserve"> </w:t>
            </w:r>
            <w:r>
              <w:t xml:space="preserve">echoing</w:t>
            </w:r>
            <w:r>
              <w:t xml:space="preserve"> </w:t>
            </w:r>
            <w:r>
              <w:t xml:space="preserve">“God of hope”</w:t>
            </w:r>
            <w:r>
              <w:t xml:space="preserve"> </w:t>
            </w:r>
            <w:r>
              <w:t xml:space="preserve">(v. 13) — framing the passage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15:1–6</w:t>
            </w:r>
          </w:p>
        </w:tc>
        <w:tc>
          <w:tcPr/>
          <w:p>
            <w:pPr>
              <w:pStyle w:val="Compact"/>
            </w:pPr>
            <w:r>
              <w:t xml:space="preserve">The Shape of Christlike Community: Bear, Build, Glorify</w:t>
            </w:r>
          </w:p>
        </w:tc>
      </w:tr>
      <w:tr>
        <w:tc>
          <w:tcPr/>
          <w:p>
            <w:pPr>
              <w:pStyle w:val="Compact"/>
            </w:pPr>
            <w:r>
              <w:t xml:space="preserve">2</w:t>
            </w:r>
          </w:p>
        </w:tc>
        <w:tc>
          <w:tcPr/>
          <w:p>
            <w:pPr>
              <w:pStyle w:val="Compact"/>
            </w:pPr>
            <w:r>
              <w:t xml:space="preserve">15:7–13</w:t>
            </w:r>
          </w:p>
        </w:tc>
        <w:tc>
          <w:tcPr/>
          <w:p>
            <w:pPr>
              <w:pStyle w:val="Compact"/>
            </w:pPr>
            <w:r>
              <w:t xml:space="preserve">The Scope of God’s Purpose: One Voice of Praise from Every Nation</w:t>
            </w:r>
          </w:p>
        </w:tc>
      </w:tr>
      <w:tr>
        <w:tc>
          <w:tcPr/>
          <w:p>
            <w:pPr>
              <w:pStyle w:val="Compact"/>
            </w:pPr>
            <w:r>
              <w:t xml:space="preserve">3</w:t>
            </w:r>
          </w:p>
        </w:tc>
        <w:tc>
          <w:tcPr/>
          <w:p>
            <w:pPr>
              <w:pStyle w:val="Compact"/>
            </w:pPr>
            <w:r>
              <w:t xml:space="preserve">15:14–21</w:t>
            </w:r>
          </w:p>
        </w:tc>
        <w:tc>
          <w:tcPr/>
          <w:p>
            <w:pPr>
              <w:pStyle w:val="Compact"/>
            </w:pPr>
            <w:r>
              <w:t xml:space="preserve">The Servant of the Nations: Paul’s Apostolic Account</w:t>
            </w:r>
          </w:p>
        </w:tc>
      </w:tr>
      <w:tr>
        <w:tc>
          <w:tcPr/>
          <w:p>
            <w:pPr>
              <w:pStyle w:val="Compact"/>
            </w:pPr>
            <w:r>
              <w:t xml:space="preserve">4</w:t>
            </w:r>
          </w:p>
        </w:tc>
        <w:tc>
          <w:tcPr/>
          <w:p>
            <w:pPr>
              <w:pStyle w:val="Compact"/>
            </w:pPr>
            <w:r>
              <w:t xml:space="preserve">15:22–29</w:t>
            </w:r>
          </w:p>
        </w:tc>
        <w:tc>
          <w:tcPr/>
          <w:p>
            <w:pPr>
              <w:pStyle w:val="Compact"/>
            </w:pPr>
            <w:r>
              <w:t xml:space="preserve">The Road to Rome: Mission Logic, Collection Theology, and Spain</w:t>
            </w:r>
          </w:p>
        </w:tc>
      </w:tr>
      <w:tr>
        <w:tc>
          <w:tcPr/>
          <w:p>
            <w:pPr>
              <w:pStyle w:val="Compact"/>
            </w:pPr>
            <w:r>
              <w:t xml:space="preserve">5</w:t>
            </w:r>
          </w:p>
        </w:tc>
        <w:tc>
          <w:tcPr/>
          <w:p>
            <w:pPr>
              <w:pStyle w:val="Compact"/>
            </w:pPr>
            <w:r>
              <w:t xml:space="preserve">15:30–33</w:t>
            </w:r>
          </w:p>
        </w:tc>
        <w:tc>
          <w:tcPr/>
          <w:p>
            <w:pPr>
              <w:pStyle w:val="Compact"/>
            </w:pPr>
            <w:r>
              <w:t xml:space="preserve">Partners in Prayer: The Apostle’s Urgent Request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Christ’s example and God’s redemptive purpose together compel unified worship and shared mission among Jew and Gentile.</w:t>
      </w:r>
    </w:p>
    <w:p>
      <w:pPr>
        <w:pStyle w:val="BodyText"/>
      </w:pPr>
      <w:r>
        <w:rPr>
          <w:b/>
          <w:bCs/>
        </w:rPr>
        <w:t xml:space="preserve">Primary Claim:</w:t>
      </w:r>
      <w:r>
        <w:t xml:space="preserve"> </w:t>
      </w:r>
      <w:r>
        <w:t xml:space="preserve">God is calling the church to recognize that bearing with one another across difference is not a concession to social peace but the necessary shape of a community whose Lord</w:t>
      </w:r>
      <w:r>
        <w:t xml:space="preserve"> </w:t>
      </w:r>
      <w:r>
        <w:t xml:space="preserve">“did not please himself”</w:t>
      </w:r>
      <w:r>
        <w:t xml:space="preserve"> </w:t>
      </w:r>
      <w:r>
        <w:t xml:space="preserve">— a community whose unity exists for the sake of the nations, that all peoples together might glorify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cost of bearing with difficult Christians.</w:t>
      </w:r>
      <w:r>
        <w:t xml:space="preserve"> </w:t>
      </w:r>
      <w:r>
        <w:t xml:space="preserve">The instinct of the</w:t>
      </w:r>
      <w:r>
        <w:t xml:space="preserve"> </w:t>
      </w:r>
      <w:r>
        <w:t xml:space="preserve">“strong”</w:t>
      </w:r>
      <w:r>
        <w:t xml:space="preserve"> </w:t>
      </w:r>
      <w:r>
        <w:t xml:space="preserve">— the theologically mature, the culturally flexible, the free in conscience — is to see accommodation of the</w:t>
      </w:r>
      <w:r>
        <w:t xml:space="preserve"> </w:t>
      </w:r>
      <w:r>
        <w:t xml:space="preserve">“weak”</w:t>
      </w:r>
      <w:r>
        <w:t xml:space="preserve"> </w:t>
      </w:r>
      <w:r>
        <w:t xml:space="preserve">as a tax on their freedom, an imposition they endure rather than a gift they give. Paul, and beneath him Christ, reframe this entirely. Christ did not merely</w:t>
      </w:r>
      <w:r>
        <w:t xml:space="preserve"> </w:t>
      </w:r>
      <w:r>
        <w:rPr>
          <w:i/>
          <w:iCs/>
        </w:rPr>
        <w:t xml:space="preserve">tolerate</w:t>
      </w:r>
      <w:r>
        <w:t xml:space="preserve"> </w:t>
      </w:r>
      <w:r>
        <w:t xml:space="preserve">our weakness — he bore it on himself; the reproaches that fell on him were ours. When you bear with a brother or sister whose scruples feel narrow to you, whose worship style grates, whose cultural instincts differ from yours, you are not losing something. You are doing the most Christlike thing the church has to offer. The question is not</w:t>
      </w:r>
      <w:r>
        <w:t xml:space="preserve"> </w:t>
      </w:r>
      <w:r>
        <w:t xml:space="preserve">“how much do I have to put up with?”</w:t>
      </w:r>
      <w:r>
        <w:t xml:space="preserve"> </w:t>
      </w:r>
      <w:r>
        <w:t xml:space="preserve">but</w:t>
      </w:r>
      <w:r>
        <w:t xml:space="preserve"> </w:t>
      </w:r>
      <w:r>
        <w:t xml:space="preserve">“whose reproaches has my Lord already carried for me?”</w:t>
      </w:r>
      <w:r>
        <w:t xml:space="preserve"> </w:t>
      </w:r>
      <w:r>
        <w:rPr>
          <w:i/>
          <w:iCs/>
        </w:rPr>
        <w:t xml:space="preserve">(Mind/belief)</w:t>
      </w:r>
    </w:p>
    <w:p>
      <w:pPr>
        <w:pStyle w:val="BodyText"/>
      </w:pPr>
      <w:r>
        <w:rPr>
          <w:b/>
          <w:bCs/>
        </w:rPr>
        <w:t xml:space="preserve">2. Let the four-fold cascade of Psalm, Deuteronomy, Psalm, and Isaiah realign your vision of the church.</w:t>
      </w:r>
      <w:r>
        <w:t xml:space="preserve"> </w:t>
      </w:r>
      <w:r>
        <w:t xml:space="preserve">Paul does not cite these four texts as decoration. He cites them to show you that your church — its ethnic mixture, its cultural diversity, its language differences, its awkwardness across backgrounds — is not a problem to be managed. It is the fulfillment of a promise. God told Abraham that all nations would be blessed. God told David that he would praise among the Gentiles. God told Moses that the nations would rejoice with his people. God told Isaiah that the root of Jesse would be the hope of the Gentiles. When your congregation worships together across difference, something prophetically ancient is happening in that room. You are not tolerating diversity; you are enacting the telos of redemptive history. Let that fill you with astonishment and praise.</w:t>
      </w:r>
      <w:r>
        <w:t xml:space="preserve"> </w:t>
      </w:r>
      <w:r>
        <w:rPr>
          <w:i/>
          <w:iCs/>
        </w:rPr>
        <w:t xml:space="preserve">(Affections/worship)</w:t>
      </w:r>
    </w:p>
    <w:p>
      <w:pPr>
        <w:pStyle w:val="BodyText"/>
      </w:pPr>
      <w:r>
        <w:rPr>
          <w:b/>
          <w:bCs/>
        </w:rPr>
        <w:t xml:space="preserve">3. Examine what you believe the church in your city is actually for.</w:t>
      </w:r>
      <w:r>
        <w:t xml:space="preserve"> </w:t>
      </w:r>
      <w:r>
        <w:t xml:space="preserve">Paul’s relationship to Rome is illuminating precisely because Rome is not his destination — it is his base. He is going to Spain. The Romans are being invited not to receive Paul but to</w:t>
      </w:r>
      <w:r>
        <w:t xml:space="preserve"> </w:t>
      </w:r>
      <w:r>
        <w:rPr>
          <w:i/>
          <w:iCs/>
        </w:rPr>
        <w:t xml:space="preserve">send</w:t>
      </w:r>
      <w:r>
        <w:t xml:space="preserve"> </w:t>
      </w:r>
      <w:r>
        <w:t xml:space="preserve">him and</w:t>
      </w:r>
      <w:r>
        <w:t xml:space="preserve"> </w:t>
      </w:r>
      <w:r>
        <w:rPr>
          <w:i/>
          <w:iCs/>
        </w:rPr>
        <w:t xml:space="preserve">sustain</w:t>
      </w:r>
      <w:r>
        <w:t xml:space="preserve"> </w:t>
      </w:r>
      <w:r>
        <w:t xml:space="preserve">him. The question this presses on any established congregation is: do we understand ourselves as a destination or a launching pad? Are we building a community for our own spiritual comfort and formation, or are we building a community that sends, funds, prays, and deploys people toward the places where Christ has not yet been named? The</w:t>
      </w:r>
      <w:r>
        <w:t xml:space="preserve"> </w:t>
      </w:r>
      <w:r>
        <w:t xml:space="preserve">“God of hope”</w:t>
      </w:r>
      <w:r>
        <w:t xml:space="preserve"> </w:t>
      </w:r>
      <w:r>
        <w:t xml:space="preserve">who fills this community with joy and peace (v. 13) does so by the power of the Holy Spirit — and the Spirit in Acts is always moving the church outward.</w:t>
      </w:r>
      <w:r>
        <w:t xml:space="preserve"> </w:t>
      </w:r>
      <w:r>
        <w:rPr>
          <w:i/>
          <w:iCs/>
        </w:rPr>
        <w:t xml:space="preserve">(Mind/belief)</w:t>
      </w:r>
    </w:p>
    <w:p>
      <w:pPr>
        <w:pStyle w:val="BodyText"/>
      </w:pPr>
      <w:r>
        <w:rPr>
          <w:b/>
          <w:bCs/>
        </w:rPr>
        <w:t xml:space="preserve">4. Feel the weight of the collection as enacted theology and let it move your giving.</w:t>
      </w:r>
      <w:r>
        <w:t xml:space="preserve"> </w:t>
      </w:r>
      <w:r>
        <w:t xml:space="preserve">The Jerusalem collection is not a footnote. Paul treats it as so theologically significant that he delays his long-anticipated visit to Rome in order to deliver it personally. The logic is explicit: the Gentiles have received spiritual blessings from Israel — the Scriptures, the covenants, the Messiah — and therefore owe material service in return. Giving across ethnic and geographical lines in the church is not charity. It is the settling of a debt. It is the enactment of what it means that there is now one body. When you give to support churches, brothers, and sisters in contexts very different from your own, you are not being generous — you are being</w:t>
      </w:r>
      <w:r>
        <w:t xml:space="preserve"> </w:t>
      </w:r>
      <w:r>
        <w:rPr>
          <w:i/>
          <w:iCs/>
        </w:rPr>
        <w:t xml:space="preserve">just</w:t>
      </w:r>
      <w:r>
        <w:t xml:space="preserve">, in the richest sense, before the God who has given all peoples access to the same covenant promises.</w:t>
      </w:r>
      <w:r>
        <w:t xml:space="preserve"> </w:t>
      </w:r>
      <w:r>
        <w:rPr>
          <w:i/>
          <w:iCs/>
        </w:rPr>
        <w:t xml:space="preserve">(Affections/worship)</w:t>
      </w:r>
    </w:p>
    <w:p>
      <w:pPr>
        <w:pStyle w:val="BodyText"/>
      </w:pPr>
      <w:r>
        <w:rPr>
          <w:b/>
          <w:bCs/>
        </w:rPr>
        <w:t xml:space="preserve">5. Learn to pray for the missionaries and church planters in your network with the specific urgency Paul models in verses 30–32.</w:t>
      </w:r>
      <w:r>
        <w:t xml:space="preserve"> </w:t>
      </w:r>
      <w:r>
        <w:t xml:space="preserve">Paul’s prayer request in vv. 30–32 is strikingly particular: deliver me from unbelievers in Judea; let the Jerusalem church receive this collection; let me come to you in joy. These are not vague</w:t>
      </w:r>
      <w:r>
        <w:t xml:space="preserve"> </w:t>
      </w:r>
      <w:r>
        <w:t xml:space="preserve">“be with the missionaries”</w:t>
      </w:r>
      <w:r>
        <w:t xml:space="preserve"> </w:t>
      </w:r>
      <w:r>
        <w:t xml:space="preserve">prayers. They name real dangers, real relational friction, real hoped-for outcomes. The church at Rome is being asked to</w:t>
      </w:r>
      <w:r>
        <w:t xml:space="preserve"> </w:t>
      </w:r>
      <w:r>
        <w:t xml:space="preserve">“strive together”</w:t>
      </w:r>
      <w:r>
        <w:t xml:space="preserve"> </w:t>
      </w:r>
      <w:r>
        <w:t xml:space="preserve">(</w:t>
      </w:r>
      <w:r>
        <w:rPr>
          <w:i/>
          <w:iCs/>
        </w:rPr>
        <w:t xml:space="preserve">synagonisasthai</w:t>
      </w:r>
      <w:r>
        <w:t xml:space="preserve">) with Paul — the word is athletic and combative, the word of a wrestler or a runner straining alongside another. If your prayer for those who preach where Christ has not been named is generic and occasional, this passage confronts you with its inadequacy. Know their names. Know their contexts. Know the specific dangers and obstacles they face. Pray like someone who has skin in the game, because through the gospel, you do.</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15 reveals that Christ’s self-giving was not merely a moral example for imitation but the covenant mechanism by which God fulfilled his ancient promise to bring the nations into the praise of Israel’s God. The passage teaches that the unity of the church is not a social good appended to the gospel but a direct expression of what Christ accomplished — he received both Jew and Gentile, so that together they might glorify God with one voice. It further establishes that God’s purposes are irreducibly missionary: the</w:t>
      </w:r>
      <w:r>
        <w:t xml:space="preserve"> </w:t>
      </w:r>
      <w:r>
        <w:t xml:space="preserve">“God of hope”</w:t>
      </w:r>
      <w:r>
        <w:t xml:space="preserve"> </w:t>
      </w:r>
      <w:r>
        <w:t xml:space="preserve">who fills believers with joy and peace by the Spirit is the same God whose telos is the praise of all nations, and his Spirit is the power by which that mission advances. The chapter also models a theology of interdependence — spiritual blessings flowing from Jewish-rooted covenant history to the Gentiles, material generosity flowing back — showing that the one body of Christ is constituted by mutuality, not uniformity.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15 is a concentrated display of covenant fulfillment theology: the promises to the patriarchs, the prophetic anticipation of Gentile praise, and the apostolic mission to the nations are shown to be one continuous thread, not a revision of God’s plan but its intended unfolding. Reformed theology’s insistence that there is one covenant of grace — one people of God across the ages, drawn from every nation — finds its exegetical anchor in vv. 8–12, where Christ’s servant ministry to Israel is the very means by which the Gentiles receive mercy and enter Israel’s praise. The passage also exemplifies the Reformed understanding that the church exists coram Deo — before God, for his glory — and that all imperatives to community life (bear one another, receive one another) are grounded in the indicative of God’s prior action in Christ, not in the imperative of social ethics. Paul’s priestly-missional self-description (v. 16) further grounds Reformed missiology in word ministry: it is the preached gospel, not sacramental mediation, that renders the nations as an offering acceptable to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church does not bear with one another across difference out of politeness, and it does not pursue mission out of obligation. It does both because its Lord</w:t>
      </w:r>
      <w:r>
        <w:t xml:space="preserve"> </w:t>
      </w:r>
      <w:r>
        <w:t xml:space="preserve">“did not please himself”</w:t>
      </w:r>
      <w:r>
        <w:t xml:space="preserve"> </w:t>
      </w:r>
      <w:r>
        <w:t xml:space="preserve">— he bore the reproaches we earned, received people we would have excluded, and confirmed promises we had no right to claim — so that</w:t>
      </w:r>
      <w:r>
        <w:t xml:space="preserve"> </w:t>
      </w:r>
      <w:r>
        <w:rPr>
          <w:i/>
          <w:iCs/>
        </w:rPr>
        <w:t xml:space="preserve">all of us together, Jew and Gentile, strong and weak, every tongue and background</w:t>
      </w:r>
      <w:r>
        <w:t xml:space="preserve"> </w:t>
      </w:r>
      <w:r>
        <w:t xml:space="preserve">might lift one voice of praise to the God who kept his word to Abraham. The unity of the church and the mission of the church are not two items on the agenda. They are one thing: the praise of God spreading from Jerusalem to Illyricum to Rome to Spain to the ends of the earth, carried by a community that has been received by Christ and now receives one another.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vv. 1–13 as merely ethical counsel on conflict management.</w:t>
      </w:r>
      <w:r>
        <w:t xml:space="preserve"> </w:t>
      </w:r>
      <w:r>
        <w:t xml:space="preserve">The</w:t>
      </w:r>
      <w:r>
        <w:t xml:space="preserve"> </w:t>
      </w:r>
      <w:r>
        <w:t xml:space="preserve">“strong and weak”</w:t>
      </w:r>
      <w:r>
        <w:t xml:space="preserve"> </w:t>
      </w:r>
      <w:r>
        <w:t xml:space="preserve">framework can easily be reduced to a lesson on Christian tolerance or interpersonal accommodation — timeless principles for getting along in a diverse church. This misses entirely the redemptive-historical freight Paul is carrying. The four OT citations in vv. 9–12 are not decoration; they are the argument. Mutual acceptance is the practical form that covenant fulfillment takes in the local church. Preach it that way, or you have preached something true but much smaller than what Paul is saying.</w:t>
      </w:r>
    </w:p>
    <w:p>
      <w:pPr>
        <w:numPr>
          <w:ilvl w:val="0"/>
          <w:numId w:val="1002"/>
        </w:numPr>
      </w:pPr>
      <w:r>
        <w:rPr>
          <w:b/>
          <w:bCs/>
        </w:rPr>
        <w:t xml:space="preserve">Preaching Christ’s example in v. 3 moralistically.</w:t>
      </w:r>
      <w:r>
        <w:t xml:space="preserve"> </w:t>
      </w:r>
      <w:r>
        <w:t xml:space="preserve">“Christ didn’t please himself, so you shouldn’t either”</w:t>
      </w:r>
      <w:r>
        <w:t xml:space="preserve"> </w:t>
      </w:r>
      <w:r>
        <w:t xml:space="preserve">is accurate but inert. The Clowney/Chapell warning is directly applicable here: the text is not primarily calling you to</w:t>
      </w:r>
      <w:r>
        <w:t xml:space="preserve"> </w:t>
      </w:r>
      <w:r>
        <w:rPr>
          <w:i/>
          <w:iCs/>
        </w:rPr>
        <w:t xml:space="preserve">imitate</w:t>
      </w:r>
      <w:r>
        <w:t xml:space="preserve"> </w:t>
      </w:r>
      <w:r>
        <w:t xml:space="preserve">Christ’s self-sacrifice — it is calling you to recognize that Christ’s self-sacrifice is the ground and the pattern that God’s receiving of you has already established. The imperative flows from the indicative. Preach the indicative fully before the imperative lands, or you have produced guilt, not transformation.</w:t>
      </w:r>
    </w:p>
    <w:p>
      <w:pPr>
        <w:numPr>
          <w:ilvl w:val="0"/>
          <w:numId w:val="1002"/>
        </w:numPr>
      </w:pPr>
      <w:r>
        <w:rPr>
          <w:b/>
          <w:bCs/>
        </w:rPr>
        <w:t xml:space="preserve">Bypassing the four OT citations as if they were proof-texts.</w:t>
      </w:r>
      <w:r>
        <w:t xml:space="preserve"> </w:t>
      </w:r>
      <w:r>
        <w:t xml:space="preserve">Preachers who quote vv. 9–12 in passing as</w:t>
      </w:r>
      <w:r>
        <w:t xml:space="preserve"> </w:t>
      </w:r>
      <w:r>
        <w:t xml:space="preserve">“supporting scriptures”</w:t>
      </w:r>
      <w:r>
        <w:t xml:space="preserve"> </w:t>
      </w:r>
      <w:r>
        <w:t xml:space="preserve">miss the fact that for Paul they constitute the case. Each citation represents a different layer of Israel’s canon (Torah, Psalms, Psalms, Prophets) converging on the same point: Gentile inclusion in praise is not Plan B. If your congregation never sees why Paul cited these four specific texts in this specific order, they will miss the theological architecture of the whole passage.</w:t>
      </w:r>
    </w:p>
    <w:p>
      <w:pPr>
        <w:numPr>
          <w:ilvl w:val="0"/>
          <w:numId w:val="1002"/>
        </w:numPr>
      </w:pPr>
      <w:r>
        <w:rPr>
          <w:b/>
          <w:bCs/>
        </w:rPr>
        <w:t xml:space="preserve">Reducing Paul’s apostolic account (vv. 14–21) to biographical background.</w:t>
      </w:r>
      <w:r>
        <w:t xml:space="preserve"> </w:t>
      </w:r>
      <w:r>
        <w:t xml:space="preserve">Preachers sometimes treat vv. 14–21 as historical context before</w:t>
      </w:r>
      <w:r>
        <w:t xml:space="preserve"> </w:t>
      </w:r>
      <w:r>
        <w:t xml:space="preserve">“the real application”</w:t>
      </w:r>
      <w:r>
        <w:t xml:space="preserve"> </w:t>
      </w:r>
      <w:r>
        <w:t xml:space="preserve">in vv. 22–33. In fact, Paul’s priestly-missional self-description is itself applicational: it is teaching the Roman church what faithful gospel ministry looks like (proclamation-centered, Spirit-empowered, frontier-oriented, Christ-glorifying rather than self-glorifying), so that they can recognize and support it when they see it. The theology of vv. 16–21 shapes what it means to be a missionary-sending church in v. 24.</w:t>
      </w:r>
    </w:p>
    <w:p>
      <w:pPr>
        <w:numPr>
          <w:ilvl w:val="0"/>
          <w:numId w:val="1002"/>
        </w:numPr>
      </w:pPr>
      <w:r>
        <w:rPr>
          <w:b/>
          <w:bCs/>
        </w:rPr>
        <w:t xml:space="preserve">Missing the theological significance of the collection in vv. 25–27.</w:t>
      </w:r>
      <w:r>
        <w:t xml:space="preserve"> </w:t>
      </w:r>
      <w:r>
        <w:t xml:space="preserve">The Jerusalem offering is frequently handled as logistical background to Paul’s travel plans. Paul treats it as enacted theology — material solidarity expressing spiritual interdependence across ethnic and geographical lines. Bypassing this is a missed opportunity to ground financial generosity in the deepest roots of covenant solidarity rather than in stewardship principles.</w:t>
      </w:r>
    </w:p>
    <w:p>
      <w:pPr>
        <w:numPr>
          <w:ilvl w:val="0"/>
          <w:numId w:val="1002"/>
        </w:numPr>
      </w:pPr>
      <w:r>
        <w:rPr>
          <w:b/>
          <w:bCs/>
        </w:rPr>
        <w:t xml:space="preserve">Praying vaguely when Paul prays specifically.</w:t>
      </w:r>
      <w:r>
        <w:t xml:space="preserve"> </w:t>
      </w:r>
      <w:r>
        <w:t xml:space="preserve">The prayer request section (vv. 30–32) is often preached as</w:t>
      </w:r>
      <w:r>
        <w:t xml:space="preserve"> </w:t>
      </w:r>
      <w:r>
        <w:t xml:space="preserve">“an example of Paul asking for prayer,”</w:t>
      </w:r>
      <w:r>
        <w:t xml:space="preserve"> </w:t>
      </w:r>
      <w:r>
        <w:t xml:space="preserve">and the application is generic:</w:t>
      </w:r>
      <w:r>
        <w:t xml:space="preserve"> </w:t>
      </w:r>
      <w:r>
        <w:t xml:space="preserve">“pray for missionaries.”</w:t>
      </w:r>
      <w:r>
        <w:t xml:space="preserve"> </w:t>
      </w:r>
      <w:r>
        <w:t xml:space="preserve">Paul’s request is the opposite of generic — it is urgently specific about dangers, relational dynamics, and hoped-for outcomes. The pitfall is modeling vague intercession from a passage that models urgent, specific, striving intercession. Name the dangers. Name the missionaries. Name the obstacles. Pray like you are in the race alongside them, because</w:t>
      </w:r>
      <w:r>
        <w:t xml:space="preserve"> </w:t>
      </w:r>
      <w:r>
        <w:rPr>
          <w:i/>
          <w:iCs/>
        </w:rPr>
        <w:t xml:space="preserve">synagonisasthai</w:t>
      </w:r>
      <w:r>
        <w:t xml:space="preserve"> </w:t>
      </w:r>
      <w:r>
        <w:t xml:space="preserve">says you are.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2026-07-14T21:07:54Z</dcterms:created>
  <dcterms:modified xsi:type="dcterms:W3CDTF">2026-07-14T21:07:54Z</dcterms:modified>
</cp:coreProperties>
</file>

<file path=docProps/custom.xml><?xml version="1.0" encoding="utf-8"?>
<Properties xmlns="http://schemas.openxmlformats.org/officeDocument/2006/custom-properties" xmlns:vt="http://schemas.openxmlformats.org/officeDocument/2006/docPropsVTypes"/>
</file>